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3D3688" w14:textId="309DE352" w:rsidR="00881085" w:rsidRPr="00BF53F0" w:rsidRDefault="00881085" w:rsidP="00881085">
      <w:pPr>
        <w:shd w:val="clear" w:color="auto" w:fill="FFFFFF"/>
        <w:spacing w:before="100" w:beforeAutospacing="1" w:after="100" w:afterAutospacing="1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bookmarkStart w:id="0" w:name="_Hlk54216683"/>
      <w:bookmarkStart w:id="1" w:name="_GoBack"/>
      <w:bookmarkEnd w:id="1"/>
      <w:r w:rsidRPr="00BF53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2020-2021 </w:t>
      </w:r>
      <w:r w:rsidR="00B65A01" w:rsidRPr="00BF53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Eğitim ve Öğretim Yılı </w:t>
      </w:r>
      <w:r w:rsidRPr="00BF53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Güz </w:t>
      </w:r>
      <w:r w:rsidR="00E8286F" w:rsidRPr="00BF53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Yarıyılı</w:t>
      </w:r>
      <w:r w:rsidRPr="00BF53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="00CE7B82" w:rsidRPr="00BF53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Kovid-19 nedeniyle Uzaktan Öğretim ile Yapılan Derslerin </w:t>
      </w:r>
      <w:r w:rsidRPr="00BF53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Ara Sınavların Uygulanması</w:t>
      </w:r>
      <w:r w:rsidR="00CE7B82" w:rsidRPr="00BF53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</w:p>
    <w:p w14:paraId="6EFA399B" w14:textId="511E7307" w:rsidR="009F5DB0" w:rsidRDefault="005433A0" w:rsidP="005433A0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B33A8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Bilindiği üzere, </w:t>
      </w:r>
      <w:proofErr w:type="spellStart"/>
      <w:r w:rsidRPr="00B33A8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Koronavirüs</w:t>
      </w:r>
      <w:proofErr w:type="spellEnd"/>
      <w:r w:rsidRPr="00B33A8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(Covid-19) salgını nedeniyle 2020-2021 </w:t>
      </w:r>
      <w:r w:rsidR="00B65A01" w:rsidRPr="00B33A8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Eğitim ve Öğretim yılı </w:t>
      </w:r>
      <w:r w:rsidRPr="00B33A8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Güz yarıyılında dersler </w:t>
      </w:r>
      <w:r w:rsidR="009F5DB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uzaktan öğretimle yapılmaktadır. </w:t>
      </w:r>
      <w:r w:rsidRPr="00B33A8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9F5DB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Öğrencilerin </w:t>
      </w:r>
      <w:r w:rsidRPr="00B33A8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dönem içi başarı (ara sınav) puanları </w:t>
      </w:r>
      <w:r w:rsidR="009F5DB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aşağıda belirtilen yöntemlerle yapıl</w:t>
      </w:r>
      <w:r w:rsidR="0005484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acaktır.</w:t>
      </w:r>
      <w:r w:rsidR="009F5DB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</w:p>
    <w:p w14:paraId="3DE6D102" w14:textId="6261ABAF" w:rsidR="005433A0" w:rsidRDefault="009F5DB0" w:rsidP="005433A0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1-Y</w:t>
      </w:r>
      <w:r w:rsidRPr="00B33A8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ılsonu</w:t>
      </w:r>
      <w:r w:rsidR="005433A0" w:rsidRPr="00B33A8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sınavlarına (finaller</w:t>
      </w:r>
      <w:r w:rsidR="00BB5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ve bütünlemeler</w:t>
      </w:r>
      <w:r w:rsidR="005433A0" w:rsidRPr="00B33A8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) yönelik kararlar salgının seyrine göre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</w:t>
      </w:r>
      <w:r w:rsidR="005433A0" w:rsidRPr="00B33A8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enato tarafından ilerleyen süreçte alınacaktır.</w:t>
      </w:r>
    </w:p>
    <w:p w14:paraId="79C2C1BD" w14:textId="77777777" w:rsidR="009F5DB0" w:rsidRDefault="009F5DB0" w:rsidP="00CE752D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2-</w:t>
      </w:r>
      <w:r w:rsidR="00CE752D" w:rsidRPr="00B33A8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Okul deneyimi ve öğretmenlik uygulaması gibi dersler, 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illi Eğitim Bakanlığı </w:t>
      </w:r>
      <w:r w:rsidRPr="00B33A8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tarafından</w:t>
      </w:r>
      <w:r w:rsidR="00CE752D" w:rsidRPr="00B33A8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yapılacak açıklamaya uygun bir şekilde yürütülecek ve değerlendirilecektir. </w:t>
      </w:r>
    </w:p>
    <w:p w14:paraId="377D7268" w14:textId="0A04DBD9" w:rsidR="00CE752D" w:rsidRPr="00B33A8E" w:rsidRDefault="009F5DB0" w:rsidP="00CE752D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3- U</w:t>
      </w:r>
      <w:r w:rsidR="00CE752D" w:rsidRPr="00B33A8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zmanlık alan, tez çalışması, bitirme projesi vb.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lisansüstü</w:t>
      </w:r>
      <w:r w:rsidR="00CE752D" w:rsidRPr="00B33A8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dersler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CE752D" w:rsidRPr="00B33A8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ile akademik birimlerin ilgili bölümlerinin uygulama ağırlıklı dersleri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nin ara sınav </w:t>
      </w:r>
      <w:r w:rsidRPr="00B33A8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değerlendirme</w:t>
      </w:r>
      <w:r w:rsidR="00DB709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kararı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CE752D" w:rsidRPr="00B33A8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ilgili akademik birimler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in kurulları</w:t>
      </w:r>
      <w:r w:rsidR="00CE752D" w:rsidRPr="00B33A8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tarafından karar verilecektir.</w:t>
      </w:r>
    </w:p>
    <w:p w14:paraId="50217E88" w14:textId="76676FED" w:rsidR="003B262C" w:rsidRDefault="00306450" w:rsidP="000C6BC7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4- </w:t>
      </w:r>
      <w:r w:rsidR="000C6BC7" w:rsidRPr="00B33A8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2020-2021 Eğitim ve Öğretim yılı Güz yarıyılı derslerin</w:t>
      </w:r>
      <w:r w:rsidR="003B262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in </w:t>
      </w:r>
      <w:r w:rsidR="000C6BC7" w:rsidRPr="00B33A8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ara sınavları</w:t>
      </w:r>
      <w:r w:rsidR="003B262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D41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02</w:t>
      </w:r>
      <w:r w:rsidR="000C6BC7" w:rsidRPr="00B33A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.1</w:t>
      </w:r>
      <w:r w:rsidR="00D41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1</w:t>
      </w:r>
      <w:r w:rsidR="000C6BC7" w:rsidRPr="00B33A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.2020</w:t>
      </w:r>
      <w:r w:rsidR="004355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="00E206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(daha önce öğrencileri bilgilendiren öğretim elemanları 05.10.2020 tarihini teme</w:t>
      </w:r>
      <w:r w:rsidR="00FB0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l</w:t>
      </w:r>
      <w:r w:rsidR="00E206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alabilir)</w:t>
      </w:r>
      <w:r w:rsidR="000C6BC7" w:rsidRPr="00B33A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ile 12.01.2021</w:t>
      </w:r>
      <w:r w:rsidR="000C6BC7" w:rsidRPr="00B33A8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süresi içerisinde</w:t>
      </w:r>
      <w:r w:rsidR="005A7AF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0C6BC7" w:rsidRPr="00B33A8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eşzamanlı ve eş</w:t>
      </w:r>
      <w:r w:rsidR="003B262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0C6BC7" w:rsidRPr="00B33A8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zamansız </w:t>
      </w:r>
      <w:r w:rsidR="003B262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yapılacak </w:t>
      </w:r>
      <w:r w:rsidR="000C6BC7" w:rsidRPr="00B33A8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etkinlikler</w:t>
      </w:r>
      <w:r w:rsidR="003B262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den alınan notlar</w:t>
      </w:r>
      <w:r w:rsidR="0029399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la</w:t>
      </w:r>
      <w:r w:rsidR="003B262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değerlendirilecektir. A</w:t>
      </w:r>
      <w:r w:rsidR="000C6BC7" w:rsidRPr="00B33A8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ra sınavların yerine geçecek</w:t>
      </w:r>
      <w:r w:rsidR="003B262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bu etkinliklerden alınan notlar yılsonu</w:t>
      </w:r>
      <w:r w:rsidR="000C6BC7" w:rsidRPr="00B33A8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başarı puanının </w:t>
      </w:r>
      <w:r w:rsidR="000C6BC7" w:rsidRPr="00B33A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%40’nı</w:t>
      </w:r>
      <w:r w:rsidR="000C6BC7" w:rsidRPr="00B33A8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 oluşturacaktır. </w:t>
      </w:r>
    </w:p>
    <w:p w14:paraId="46B59FE1" w14:textId="73CD7D4D" w:rsidR="000C6BC7" w:rsidRPr="00B33A8E" w:rsidRDefault="003B262C" w:rsidP="000C6BC7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5-</w:t>
      </w:r>
      <w:r w:rsidR="000C6BC7" w:rsidRPr="00B33A8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Akademik takvimde</w:t>
      </w:r>
      <w:r w:rsidR="00886B4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belirtilen</w:t>
      </w:r>
      <w:r w:rsidR="000C6BC7" w:rsidRPr="00B33A8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ara sınav tarih aralığında </w:t>
      </w:r>
      <w:r w:rsidR="000C6BC7" w:rsidRPr="00B33A8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(</w:t>
      </w:r>
      <w:r w:rsidR="000C6BC7" w:rsidRPr="00B33A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21.11.2020 ile 28.11.2020) </w:t>
      </w:r>
      <w:r w:rsidR="000C6BC7" w:rsidRPr="00B33A8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uzaktan öğretim derslerine devam edilecektir.  </w:t>
      </w:r>
    </w:p>
    <w:p w14:paraId="16DF893B" w14:textId="4364E31D" w:rsidR="00D71E99" w:rsidRPr="00B33A8E" w:rsidRDefault="00963B73" w:rsidP="00D71E99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6-Aşağıda </w:t>
      </w:r>
      <w:r w:rsidR="00886B4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belirtilen üç farklı </w:t>
      </w:r>
      <w:r w:rsidR="00637BB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etkinlik grubunu</w:t>
      </w:r>
      <w:r w:rsidR="00886B4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d</w:t>
      </w:r>
      <w:r w:rsidR="00637BB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</w:t>
      </w:r>
      <w:r w:rsidR="00886B4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kapsayan dönem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içi etkinliklerin</w:t>
      </w:r>
      <w:r w:rsidR="00886B4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in</w:t>
      </w:r>
      <w:r w:rsidR="00D71E99" w:rsidRPr="00B33A8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hangi oranlarda </w:t>
      </w:r>
      <w:r w:rsidR="00886B4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ara sınavlara etki edeceği dersin</w:t>
      </w:r>
      <w:r w:rsidR="00C1097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AC06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öğretim elemanın</w:t>
      </w:r>
      <w:r w:rsidR="00886B4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ın</w:t>
      </w:r>
      <w:r w:rsidR="00AC06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teklifi </w:t>
      </w:r>
      <w:r w:rsidR="00091BF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ve</w:t>
      </w:r>
      <w:r w:rsidR="00AC06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ilgili </w:t>
      </w:r>
      <w:r w:rsidR="00D71E99" w:rsidRPr="00B33A8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akademik birimler</w:t>
      </w:r>
      <w:r w:rsidR="00091BF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in onayı ile</w:t>
      </w:r>
      <w:r w:rsidR="00D71E99" w:rsidRPr="00B33A8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886B4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belirlenecek ve </w:t>
      </w:r>
      <w:r w:rsidR="00631846" w:rsidRPr="00B33A8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dersin öğretim elemanı tarafından öğrenciler</w:t>
      </w:r>
      <w:r w:rsidR="00886B4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 duyurulacaktır</w:t>
      </w:r>
      <w:r w:rsidR="00642D0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:</w:t>
      </w:r>
      <w:r w:rsidR="00886B4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</w:p>
    <w:p w14:paraId="18A0518F" w14:textId="0C943A58" w:rsidR="00D71E99" w:rsidRPr="00B33A8E" w:rsidRDefault="00637BB1" w:rsidP="00D71E99">
      <w:pPr>
        <w:pStyle w:val="ListeParagraf"/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37BB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tr-TR"/>
        </w:rPr>
        <w:t>Ödev etkinlikleri</w:t>
      </w:r>
      <w:r w:rsidRPr="00637BB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D71E99" w:rsidRPr="00B33A8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Ödev, rapor yazımı, </w:t>
      </w:r>
      <w:r w:rsidR="005433A0" w:rsidRPr="00B33A8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performans görevi, </w:t>
      </w:r>
      <w:r w:rsidR="00D71E99" w:rsidRPr="00B33A8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proje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vb. </w:t>
      </w:r>
    </w:p>
    <w:p w14:paraId="32670B61" w14:textId="3919E7AF" w:rsidR="004D65B9" w:rsidRPr="004D65B9" w:rsidRDefault="00637BB1" w:rsidP="004D65B9">
      <w:pPr>
        <w:pStyle w:val="ListeParagraf"/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37BB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tr-TR"/>
        </w:rPr>
        <w:t xml:space="preserve">Forum </w:t>
      </w:r>
      <w:r w:rsidR="00A05B90" w:rsidRPr="00637BB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tr-TR"/>
        </w:rPr>
        <w:t>tartışmaları</w:t>
      </w:r>
      <w:r w:rsidR="00A05B9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: </w:t>
      </w:r>
      <w:r w:rsidR="00A05B90" w:rsidRPr="00B33A8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En</w:t>
      </w:r>
      <w:r w:rsidR="00B16C84" w:rsidRPr="00B33A8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az 5 haftalık eşzamanlı veya eş</w:t>
      </w:r>
      <w:r w:rsidR="00886B4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B16C84" w:rsidRPr="00B33A8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zamansız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olmak üzere</w:t>
      </w:r>
      <w:r w:rsidR="00AF299E" w:rsidRPr="00B33A8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</w:t>
      </w:r>
    </w:p>
    <w:p w14:paraId="5965AC78" w14:textId="0F1905BB" w:rsidR="00D71E99" w:rsidRPr="00B33A8E" w:rsidRDefault="00637BB1" w:rsidP="00D71E99">
      <w:pPr>
        <w:pStyle w:val="ListeParagraf"/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tr-TR"/>
        </w:rPr>
        <w:t>Çevrimiçi e</w:t>
      </w:r>
      <w:r w:rsidRPr="00637BB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tr-TR"/>
        </w:rPr>
        <w:t xml:space="preserve">şzamanlı </w:t>
      </w:r>
      <w:r w:rsidR="00A05B90" w:rsidRPr="00637BB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tr-TR"/>
        </w:rPr>
        <w:t>sınavlar:</w:t>
      </w:r>
      <w:r w:rsidR="00A05B9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A05B90" w:rsidRPr="00B33A8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En</w:t>
      </w:r>
      <w:r w:rsidR="00D71E99" w:rsidRPr="00B33A8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az </w:t>
      </w:r>
      <w:r w:rsidR="00E61940" w:rsidRPr="00B33A8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7</w:t>
      </w:r>
      <w:r w:rsidR="00D71E99" w:rsidRPr="00B33A8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hafta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yapılan </w:t>
      </w:r>
      <w:r w:rsidR="00D71E99" w:rsidRPr="00B33A8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çevrimiçi sınavlar.</w:t>
      </w:r>
    </w:p>
    <w:p w14:paraId="2C966969" w14:textId="0D827E2A" w:rsidR="00D71E99" w:rsidRPr="00B33A8E" w:rsidRDefault="00EF0948" w:rsidP="00D71E99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7-</w:t>
      </w:r>
      <w:r w:rsidR="00D71E99" w:rsidRPr="00B33A8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Çevrimiçi eşzamanlı sınav ve diğer etkinliklerin değerlendirilmesine ilişkin hususlar, ilgili programın öğrenme kazanımları ve sonraki süreçlerde yaşanabilecek ihtilaflar ile denetlemeler de göz önünde bulundurularak;</w:t>
      </w:r>
    </w:p>
    <w:p w14:paraId="2156B79D" w14:textId="7B39D96B" w:rsidR="00D71E99" w:rsidRPr="00B33A8E" w:rsidRDefault="00D71E99" w:rsidP="00D71E99">
      <w:pPr>
        <w:numPr>
          <w:ilvl w:val="0"/>
          <w:numId w:val="1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B33A8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Sınavların ölçme ve değerlendirme sürecinin güvenliğinin sağlanması </w:t>
      </w:r>
      <w:r w:rsidRPr="00B33A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hukuki açıdan şeffaf, açıklanabilir ve denetlenebilir ilkeler doğrultusunda</w:t>
      </w:r>
      <w:r w:rsidRPr="00B33A8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tüm değerlendirme araçlarının uygulanmasında kayıt altına alınması, çevrimiçi eşzamanlı sınavlarda soruların ras</w:t>
      </w:r>
      <w:r w:rsidR="0045044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</w:t>
      </w:r>
      <w:r w:rsidRPr="00B33A8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gele ve soru bankasından dağıtılması, </w:t>
      </w:r>
      <w:r w:rsidR="00631846" w:rsidRPr="00B33A8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ödevlerin benzerliklerinin belirlenmesi, açık uçlu sorulara öğrencilerin vermiş oldukları cevapların benzerliklerinin belirlenmesi ve </w:t>
      </w:r>
      <w:proofErr w:type="spellStart"/>
      <w:r w:rsidR="00631846" w:rsidRPr="00B33A8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rubrik</w:t>
      </w:r>
      <w:proofErr w:type="spellEnd"/>
      <w:r w:rsidR="00631846" w:rsidRPr="00B33A8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ile değerlendirilmesi gibi yöntemler kullanılabilir.</w:t>
      </w:r>
      <w:r w:rsidRPr="00B33A8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Öğretim elemanı bu kayıtları yasal süresi boyunca saklamakla </w:t>
      </w:r>
      <w:r w:rsidRPr="00B33A8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lastRenderedPageBreak/>
        <w:t>yükümlüdür.</w:t>
      </w:r>
      <w:r w:rsidR="008154D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B33A8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Çevrimiçi eşzamanlı sınavlar</w:t>
      </w:r>
      <w:r w:rsidR="008D34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</w:t>
      </w:r>
      <w:r w:rsidRPr="00B33A8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ilgili dersin ders saatinde </w:t>
      </w:r>
      <w:r w:rsidRPr="00B33A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BOYSİS </w:t>
      </w:r>
      <w:r w:rsidRPr="00B33A8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ve/veya</w:t>
      </w:r>
      <w:r w:rsidRPr="00B33A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kaydetmek şartıyla BOYSİS Çevrimiçi Canlı Ders (</w:t>
      </w:r>
      <w:proofErr w:type="spellStart"/>
      <w:r w:rsidRPr="00B33A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BigBlueButton</w:t>
      </w:r>
      <w:proofErr w:type="spellEnd"/>
      <w:r w:rsidRPr="00B33A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)</w:t>
      </w:r>
      <w:r w:rsidRPr="00B33A8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aracılığıyla yapılacaktır.</w:t>
      </w:r>
    </w:p>
    <w:p w14:paraId="16CECD0B" w14:textId="0263E531" w:rsidR="00D71E99" w:rsidRPr="00B33A8E" w:rsidRDefault="00D71E99" w:rsidP="00D71E99">
      <w:pPr>
        <w:numPr>
          <w:ilvl w:val="0"/>
          <w:numId w:val="1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B33A8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Çevrimiçi eşzamanlı sınavlar için öğrencilerin mazeretleri kabul edilmez. Öğrencinin çevrimiçi eşzamanlı sınava katılmaması durumunda ilgili çevrimiçi eşzamanlı sınavdan 0 (sıfır) puan alır. Bunun yanı sıra ilgili öğrencilerin eşzamanlı sınavların hiçbirine katılmaması ve diğer etkinlikler</w:t>
      </w:r>
      <w:r w:rsidR="00EF094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e katılması </w:t>
      </w:r>
      <w:r w:rsidRPr="00B33A8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durumunda, sadece </w:t>
      </w:r>
      <w:r w:rsidR="007A5C0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ilgili</w:t>
      </w:r>
      <w:r w:rsidRPr="00B33A8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etkinlikler değerlendirmeye alınarak yıl içi değerlendirme puanı hesaplanır.</w:t>
      </w:r>
    </w:p>
    <w:p w14:paraId="27477BBB" w14:textId="680BEE83" w:rsidR="00D94349" w:rsidRPr="001551AE" w:rsidRDefault="00C53B29" w:rsidP="00A05DF0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551AE">
        <w:rPr>
          <w:rFonts w:ascii="Times New Roman" w:eastAsia="Times New Roman" w:hAnsi="Times New Roman" w:cs="Times New Roman"/>
          <w:sz w:val="24"/>
          <w:szCs w:val="24"/>
          <w:lang w:eastAsia="tr-TR"/>
        </w:rPr>
        <w:t>Çevrimiçi eşzamanlı sınavların ders saati içerisinde yapılacağı zaman aralığı ö</w:t>
      </w:r>
      <w:r w:rsidR="001E0268" w:rsidRPr="001551AE">
        <w:rPr>
          <w:rFonts w:ascii="Times New Roman" w:eastAsia="Times New Roman" w:hAnsi="Times New Roman" w:cs="Times New Roman"/>
          <w:sz w:val="24"/>
          <w:szCs w:val="24"/>
          <w:lang w:eastAsia="tr-TR"/>
        </w:rPr>
        <w:t>ğretim eleman</w:t>
      </w:r>
      <w:r w:rsidRPr="001551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ı tarafından </w:t>
      </w:r>
      <w:r w:rsidR="001E0268" w:rsidRPr="001551AE">
        <w:rPr>
          <w:rFonts w:ascii="Times New Roman" w:eastAsia="Times New Roman" w:hAnsi="Times New Roman" w:cs="Times New Roman"/>
          <w:sz w:val="24"/>
          <w:szCs w:val="24"/>
          <w:lang w:eastAsia="tr-TR"/>
        </w:rPr>
        <w:t>belirlenir</w:t>
      </w:r>
      <w:r w:rsidRPr="001551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öğrencilere duyurulur. </w:t>
      </w:r>
    </w:p>
    <w:p w14:paraId="183DA966" w14:textId="2CCA00DE" w:rsidR="00D71E99" w:rsidRPr="00B33A8E" w:rsidRDefault="00C53B29" w:rsidP="00D71E99">
      <w:pPr>
        <w:shd w:val="clear" w:color="auto" w:fill="FFFFFF"/>
        <w:spacing w:beforeAutospacing="1" w:after="0" w:afterAutospacing="1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8- </w:t>
      </w:r>
      <w:proofErr w:type="spellStart"/>
      <w:r w:rsidR="00D71E99" w:rsidRPr="00B33A8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Koronavirüs</w:t>
      </w:r>
      <w:proofErr w:type="spellEnd"/>
      <w:r w:rsidR="00D71E99" w:rsidRPr="00B33A8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salgını nedeniyle yapılamayan tez savunma</w:t>
      </w:r>
      <w:r w:rsidR="00A43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r w:rsidR="00D71E99" w:rsidRPr="00B33A8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yeterlik sınavları</w:t>
      </w:r>
      <w:r w:rsidR="00A43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ve tez izleme komiteleri</w:t>
      </w:r>
      <w:r w:rsidR="00D71E99" w:rsidRPr="00B33A8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 kayıt altına alınarak </w:t>
      </w:r>
      <w:r w:rsidR="00D71E99" w:rsidRPr="00B33A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hukuki açıdan denetlenebilir olma koşulunu sağlaması kaydıyla</w:t>
      </w:r>
      <w:r w:rsidR="00D71E99" w:rsidRPr="00B33A8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dijital ortamda yapılabilecektir. Bu konudaki uygulama ve </w:t>
      </w:r>
      <w:r w:rsidR="00D71E99" w:rsidRPr="00B33A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sorumluluk Enstitü Müdürlüklerine </w:t>
      </w:r>
      <w:r w:rsidR="00D71E99" w:rsidRPr="00F41C8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aittir.</w:t>
      </w:r>
    </w:p>
    <w:p w14:paraId="10987ED5" w14:textId="77777777" w:rsidR="00D71E99" w:rsidRPr="00B33A8E" w:rsidRDefault="00D71E99" w:rsidP="00D71E99">
      <w:pPr>
        <w:rPr>
          <w:rFonts w:ascii="Times New Roman" w:hAnsi="Times New Roman" w:cs="Times New Roman"/>
          <w:sz w:val="24"/>
          <w:szCs w:val="24"/>
        </w:rPr>
      </w:pPr>
    </w:p>
    <w:bookmarkEnd w:id="0"/>
    <w:p w14:paraId="45465D83" w14:textId="77777777" w:rsidR="00D71E99" w:rsidRPr="00B33A8E" w:rsidRDefault="00D71E99" w:rsidP="00D71E99">
      <w:pPr>
        <w:rPr>
          <w:rFonts w:ascii="Times New Roman" w:hAnsi="Times New Roman" w:cs="Times New Roman"/>
          <w:sz w:val="24"/>
          <w:szCs w:val="24"/>
        </w:rPr>
      </w:pPr>
    </w:p>
    <w:p w14:paraId="7741A05E" w14:textId="77777777" w:rsidR="00DE3C8B" w:rsidRPr="00B33A8E" w:rsidRDefault="00DE3C8B" w:rsidP="00D71E99">
      <w:pPr>
        <w:rPr>
          <w:rFonts w:ascii="Times New Roman" w:hAnsi="Times New Roman" w:cs="Times New Roman"/>
          <w:sz w:val="24"/>
          <w:szCs w:val="24"/>
        </w:rPr>
      </w:pPr>
    </w:p>
    <w:sectPr w:rsidR="00DE3C8B" w:rsidRPr="00B33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4671D"/>
    <w:multiLevelType w:val="multilevel"/>
    <w:tmpl w:val="0846DCC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565CD4"/>
    <w:multiLevelType w:val="hybridMultilevel"/>
    <w:tmpl w:val="8E2CC0D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571"/>
    <w:rsid w:val="00054847"/>
    <w:rsid w:val="00063A4E"/>
    <w:rsid w:val="00091BF3"/>
    <w:rsid w:val="000C6BC7"/>
    <w:rsid w:val="000E5A5C"/>
    <w:rsid w:val="000F5ABE"/>
    <w:rsid w:val="00110817"/>
    <w:rsid w:val="00124027"/>
    <w:rsid w:val="0012739E"/>
    <w:rsid w:val="0015321A"/>
    <w:rsid w:val="001551AE"/>
    <w:rsid w:val="00163786"/>
    <w:rsid w:val="00181B09"/>
    <w:rsid w:val="0018425B"/>
    <w:rsid w:val="0018660B"/>
    <w:rsid w:val="001942CF"/>
    <w:rsid w:val="001B2520"/>
    <w:rsid w:val="001E0268"/>
    <w:rsid w:val="0023046E"/>
    <w:rsid w:val="0027772A"/>
    <w:rsid w:val="00293847"/>
    <w:rsid w:val="0029399A"/>
    <w:rsid w:val="002B2CEB"/>
    <w:rsid w:val="002B5C01"/>
    <w:rsid w:val="002E50BF"/>
    <w:rsid w:val="00306450"/>
    <w:rsid w:val="0032381B"/>
    <w:rsid w:val="00331A4E"/>
    <w:rsid w:val="003659D0"/>
    <w:rsid w:val="003B262C"/>
    <w:rsid w:val="003F60D0"/>
    <w:rsid w:val="00435535"/>
    <w:rsid w:val="0044478F"/>
    <w:rsid w:val="0045044C"/>
    <w:rsid w:val="004649F9"/>
    <w:rsid w:val="00491DDF"/>
    <w:rsid w:val="00494C97"/>
    <w:rsid w:val="00494E4F"/>
    <w:rsid w:val="004B26C7"/>
    <w:rsid w:val="004C0AAF"/>
    <w:rsid w:val="004D65B9"/>
    <w:rsid w:val="004E19EF"/>
    <w:rsid w:val="004E2EE3"/>
    <w:rsid w:val="004F122C"/>
    <w:rsid w:val="004F5653"/>
    <w:rsid w:val="005207A7"/>
    <w:rsid w:val="0054078E"/>
    <w:rsid w:val="005433A0"/>
    <w:rsid w:val="0055258E"/>
    <w:rsid w:val="00594AED"/>
    <w:rsid w:val="005A08DC"/>
    <w:rsid w:val="005A7AF0"/>
    <w:rsid w:val="00631846"/>
    <w:rsid w:val="00637BB1"/>
    <w:rsid w:val="00642D02"/>
    <w:rsid w:val="00645822"/>
    <w:rsid w:val="00661571"/>
    <w:rsid w:val="00661721"/>
    <w:rsid w:val="00663B73"/>
    <w:rsid w:val="00675435"/>
    <w:rsid w:val="0076210B"/>
    <w:rsid w:val="007A5C0C"/>
    <w:rsid w:val="007D016C"/>
    <w:rsid w:val="007F3E15"/>
    <w:rsid w:val="007F6868"/>
    <w:rsid w:val="008154D7"/>
    <w:rsid w:val="00871DCE"/>
    <w:rsid w:val="00881085"/>
    <w:rsid w:val="00881BED"/>
    <w:rsid w:val="008859E0"/>
    <w:rsid w:val="00886B44"/>
    <w:rsid w:val="008D34FA"/>
    <w:rsid w:val="009028D8"/>
    <w:rsid w:val="00937A71"/>
    <w:rsid w:val="00963B73"/>
    <w:rsid w:val="009B49D3"/>
    <w:rsid w:val="009C2C9E"/>
    <w:rsid w:val="009F5DB0"/>
    <w:rsid w:val="00A05B90"/>
    <w:rsid w:val="00A06DD7"/>
    <w:rsid w:val="00A210BC"/>
    <w:rsid w:val="00A43866"/>
    <w:rsid w:val="00A840C2"/>
    <w:rsid w:val="00AA70C3"/>
    <w:rsid w:val="00AC06EB"/>
    <w:rsid w:val="00AC7C41"/>
    <w:rsid w:val="00AF299E"/>
    <w:rsid w:val="00B01E76"/>
    <w:rsid w:val="00B16C84"/>
    <w:rsid w:val="00B209DC"/>
    <w:rsid w:val="00B33A8E"/>
    <w:rsid w:val="00B37C4B"/>
    <w:rsid w:val="00B4670E"/>
    <w:rsid w:val="00B64E36"/>
    <w:rsid w:val="00B65A01"/>
    <w:rsid w:val="00B74E49"/>
    <w:rsid w:val="00BB5CFA"/>
    <w:rsid w:val="00BC2AEF"/>
    <w:rsid w:val="00BF53F0"/>
    <w:rsid w:val="00C1097F"/>
    <w:rsid w:val="00C3562C"/>
    <w:rsid w:val="00C53B29"/>
    <w:rsid w:val="00C57485"/>
    <w:rsid w:val="00C84EC1"/>
    <w:rsid w:val="00C93EA1"/>
    <w:rsid w:val="00CA12EC"/>
    <w:rsid w:val="00CE752D"/>
    <w:rsid w:val="00CE7B82"/>
    <w:rsid w:val="00CF2D29"/>
    <w:rsid w:val="00D1265C"/>
    <w:rsid w:val="00D30DF8"/>
    <w:rsid w:val="00D41F5C"/>
    <w:rsid w:val="00D41FF3"/>
    <w:rsid w:val="00D517B1"/>
    <w:rsid w:val="00D71E99"/>
    <w:rsid w:val="00D821E6"/>
    <w:rsid w:val="00D94349"/>
    <w:rsid w:val="00DA534B"/>
    <w:rsid w:val="00DB709C"/>
    <w:rsid w:val="00DE3C8B"/>
    <w:rsid w:val="00E05756"/>
    <w:rsid w:val="00E20645"/>
    <w:rsid w:val="00E61940"/>
    <w:rsid w:val="00E76188"/>
    <w:rsid w:val="00E8286F"/>
    <w:rsid w:val="00EF0948"/>
    <w:rsid w:val="00EF4B47"/>
    <w:rsid w:val="00F00BA3"/>
    <w:rsid w:val="00F2225D"/>
    <w:rsid w:val="00F41C89"/>
    <w:rsid w:val="00F47CCC"/>
    <w:rsid w:val="00F67BA7"/>
    <w:rsid w:val="00FB0B13"/>
    <w:rsid w:val="00FC2BCC"/>
    <w:rsid w:val="00FC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3C9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E9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1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61571"/>
    <w:rPr>
      <w:b/>
      <w:bCs/>
    </w:rPr>
  </w:style>
  <w:style w:type="character" w:styleId="Vurgu">
    <w:name w:val="Emphasis"/>
    <w:basedOn w:val="VarsaylanParagrafYazTipi"/>
    <w:uiPriority w:val="20"/>
    <w:qFormat/>
    <w:rsid w:val="00661571"/>
    <w:rPr>
      <w:i/>
      <w:iCs/>
    </w:rPr>
  </w:style>
  <w:style w:type="character" w:styleId="Kpr">
    <w:name w:val="Hyperlink"/>
    <w:basedOn w:val="VarsaylanParagrafYazTipi"/>
    <w:uiPriority w:val="99"/>
    <w:unhideWhenUsed/>
    <w:rsid w:val="00661571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12739E"/>
    <w:pPr>
      <w:ind w:left="720"/>
      <w:contextualSpacing/>
    </w:p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CF2D29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810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108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E9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1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61571"/>
    <w:rPr>
      <w:b/>
      <w:bCs/>
    </w:rPr>
  </w:style>
  <w:style w:type="character" w:styleId="Vurgu">
    <w:name w:val="Emphasis"/>
    <w:basedOn w:val="VarsaylanParagrafYazTipi"/>
    <w:uiPriority w:val="20"/>
    <w:qFormat/>
    <w:rsid w:val="00661571"/>
    <w:rPr>
      <w:i/>
      <w:iCs/>
    </w:rPr>
  </w:style>
  <w:style w:type="character" w:styleId="Kpr">
    <w:name w:val="Hyperlink"/>
    <w:basedOn w:val="VarsaylanParagrafYazTipi"/>
    <w:uiPriority w:val="99"/>
    <w:unhideWhenUsed/>
    <w:rsid w:val="00661571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12739E"/>
    <w:pPr>
      <w:ind w:left="720"/>
      <w:contextualSpacing/>
    </w:p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CF2D29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810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10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Bilgisayar</dc:creator>
  <cp:lastModifiedBy>Esra</cp:lastModifiedBy>
  <cp:revision>2</cp:revision>
  <dcterms:created xsi:type="dcterms:W3CDTF">2020-10-30T06:54:00Z</dcterms:created>
  <dcterms:modified xsi:type="dcterms:W3CDTF">2020-10-30T06:54:00Z</dcterms:modified>
</cp:coreProperties>
</file>